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"/>
        <w:gridCol w:w="1938"/>
        <w:gridCol w:w="2811"/>
        <w:gridCol w:w="976"/>
        <w:gridCol w:w="3517"/>
        <w:gridCol w:w="634"/>
      </w:tblGrid>
      <w:tr w:rsidR="00987E08" w:rsidRPr="00C34841" w14:paraId="098121DB" w14:textId="77777777" w:rsidTr="0096198D"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5EEFB" w14:textId="4CC5F37F" w:rsidR="00987E08" w:rsidRPr="00C34841" w:rsidRDefault="0082304A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87E08">
              <w:rPr>
                <w:rFonts w:ascii="Arial" w:hAnsi="Arial" w:cs="Arial"/>
                <w:b/>
                <w:sz w:val="20"/>
                <w:szCs w:val="20"/>
              </w:rPr>
              <w:t xml:space="preserve">KF </w:t>
            </w:r>
            <w:r w:rsidR="006F22E0">
              <w:rPr>
                <w:rFonts w:ascii="Arial" w:hAnsi="Arial" w:cs="Arial"/>
                <w:b/>
                <w:sz w:val="20"/>
                <w:szCs w:val="20"/>
              </w:rPr>
              <w:t>Advisory</w:t>
            </w: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E084C" w14:textId="6DDC46CD" w:rsidR="00987E08" w:rsidRPr="00C34841" w:rsidRDefault="00804731" w:rsidP="00E84F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B</w:t>
            </w:r>
          </w:p>
        </w:tc>
      </w:tr>
      <w:tr w:rsidR="00987E08" w:rsidRPr="00C34841" w14:paraId="0E6EC51E" w14:textId="77777777" w:rsidTr="0096198D"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84A8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A006B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0CB81911" w14:textId="77777777" w:rsidTr="0096198D"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CC4DF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841">
              <w:rPr>
                <w:rFonts w:ascii="Arial" w:hAnsi="Arial" w:cs="Arial"/>
                <w:b/>
                <w:sz w:val="20"/>
                <w:szCs w:val="20"/>
              </w:rPr>
              <w:t>Provision of Services Regulations 2009</w:t>
            </w: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988F7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14648F03" w14:textId="77777777" w:rsidTr="0096198D"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65089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C4374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550056BE" w14:textId="77777777" w:rsidTr="0096198D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F1FB5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The following information is provided in accordance with our obligations under The Provision of Services Regulations 2009.</w:t>
            </w:r>
          </w:p>
        </w:tc>
      </w:tr>
      <w:tr w:rsidR="00987E08" w:rsidRPr="00C34841" w14:paraId="462C8A92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C97C2" w14:textId="77777777" w:rsidR="00987E08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26B40F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68156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5E06CC09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CE412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9DA">
              <w:rPr>
                <w:rFonts w:ascii="Arial" w:hAnsi="Arial" w:cs="Arial"/>
                <w:b/>
                <w:sz w:val="18"/>
                <w:szCs w:val="18"/>
              </w:rPr>
              <w:t>Legal form: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66900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Limited Company</w:t>
            </w:r>
          </w:p>
        </w:tc>
      </w:tr>
      <w:tr w:rsidR="00987E08" w:rsidRPr="00C34841" w14:paraId="0680C454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E6776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3ECD1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4A4EB285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8790D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9DA">
              <w:rPr>
                <w:rFonts w:ascii="Arial" w:hAnsi="Arial" w:cs="Arial"/>
                <w:b/>
                <w:sz w:val="18"/>
                <w:szCs w:val="18"/>
              </w:rPr>
              <w:t>Company Number: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8937C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08867423</w:t>
            </w:r>
          </w:p>
        </w:tc>
      </w:tr>
      <w:tr w:rsidR="00987E08" w:rsidRPr="00C34841" w14:paraId="3A35E154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3742E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CD6B7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0FFB1283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22BDB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9DA">
              <w:rPr>
                <w:rFonts w:ascii="Arial" w:hAnsi="Arial" w:cs="Arial"/>
                <w:b/>
                <w:sz w:val="18"/>
                <w:szCs w:val="18"/>
              </w:rPr>
              <w:t>Trading name: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95052" w14:textId="0936401F" w:rsidR="00987E08" w:rsidRPr="00C34841" w:rsidRDefault="00B95924" w:rsidP="001F2D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PKF </w:t>
            </w:r>
            <w:r w:rsidR="006F22E0">
              <w:rPr>
                <w:rFonts w:ascii="Arial" w:hAnsi="Arial" w:cs="Arial"/>
                <w:sz w:val="20"/>
                <w:szCs w:val="20"/>
              </w:rPr>
              <w:t>Littlejohn Advisory Limited</w:t>
            </w:r>
          </w:p>
        </w:tc>
      </w:tr>
      <w:tr w:rsidR="00987E08" w:rsidRPr="00C34841" w14:paraId="4E5B8C1F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1F253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A1F9D" w14:textId="77777777" w:rsidR="00987E08" w:rsidRPr="00C34841" w:rsidRDefault="00987E08" w:rsidP="001F2D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721F1EB2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B630B" w14:textId="77777777" w:rsidR="00987E08" w:rsidRPr="004979DA" w:rsidRDefault="00987E08" w:rsidP="001F2D7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9DA">
              <w:rPr>
                <w:rFonts w:ascii="Arial" w:hAnsi="Arial" w:cs="Arial"/>
                <w:b/>
                <w:sz w:val="18"/>
                <w:szCs w:val="18"/>
              </w:rPr>
              <w:t>Directors: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37869" w14:textId="1948DB10" w:rsidR="00987E08" w:rsidRPr="000560BF" w:rsidRDefault="00987E08" w:rsidP="001F2D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BF">
              <w:rPr>
                <w:rFonts w:ascii="Arial" w:hAnsi="Arial" w:cs="Arial"/>
                <w:sz w:val="20"/>
                <w:szCs w:val="20"/>
              </w:rPr>
              <w:t xml:space="preserve">Stephen Goderski, James Sleight, Peter Hart, </w:t>
            </w:r>
            <w:r w:rsidR="000560BF" w:rsidRPr="000560BF">
              <w:rPr>
                <w:rFonts w:ascii="Arial" w:hAnsi="Arial" w:cs="Arial"/>
                <w:sz w:val="20"/>
                <w:szCs w:val="20"/>
              </w:rPr>
              <w:t xml:space="preserve">Alistair </w:t>
            </w:r>
            <w:r w:rsidR="000560BF" w:rsidRPr="00850504">
              <w:rPr>
                <w:rFonts w:ascii="Arial" w:hAnsi="Arial" w:cs="Arial"/>
                <w:sz w:val="20"/>
                <w:szCs w:val="20"/>
              </w:rPr>
              <w:t>Roberts</w:t>
            </w:r>
            <w:r w:rsidRPr="00850504">
              <w:rPr>
                <w:rFonts w:ascii="Arial" w:hAnsi="Arial" w:cs="Arial"/>
                <w:sz w:val="20"/>
                <w:szCs w:val="20"/>
              </w:rPr>
              <w:t xml:space="preserve">, Carmine </w:t>
            </w:r>
            <w:proofErr w:type="gramStart"/>
            <w:r w:rsidRPr="00850504">
              <w:rPr>
                <w:rFonts w:ascii="Arial" w:hAnsi="Arial" w:cs="Arial"/>
                <w:sz w:val="20"/>
                <w:szCs w:val="20"/>
              </w:rPr>
              <w:t>Papa</w:t>
            </w:r>
            <w:proofErr w:type="gramEnd"/>
            <w:r w:rsidR="000560BF" w:rsidRPr="0085050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62B52" w:rsidRPr="00850504">
              <w:rPr>
                <w:rFonts w:ascii="Arial" w:hAnsi="Arial" w:cs="Arial"/>
                <w:sz w:val="20"/>
                <w:szCs w:val="20"/>
              </w:rPr>
              <w:t xml:space="preserve"> Oliver Collinge</w:t>
            </w:r>
          </w:p>
        </w:tc>
      </w:tr>
      <w:tr w:rsidR="00987E08" w:rsidRPr="00C34841" w14:paraId="029FD7E7" w14:textId="77777777" w:rsidTr="0096198D">
        <w:trPr>
          <w:trHeight w:val="80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9889A" w14:textId="77777777" w:rsidR="00987E08" w:rsidRPr="004979DA" w:rsidRDefault="00987E08" w:rsidP="001F2D7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5230" w14:textId="77777777" w:rsidR="00987E08" w:rsidRPr="000560BF" w:rsidRDefault="00987E08" w:rsidP="001F2D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52DFEC16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A71F0" w14:textId="77777777" w:rsidR="00987E08" w:rsidRPr="004979DA" w:rsidRDefault="00987E08" w:rsidP="004979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79DA">
              <w:rPr>
                <w:rFonts w:ascii="Arial" w:hAnsi="Arial" w:cs="Arial"/>
                <w:b/>
                <w:sz w:val="18"/>
                <w:szCs w:val="18"/>
              </w:rPr>
              <w:t>Licensed Insolvency Practitioners: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E6CB" w14:textId="1265B420" w:rsidR="00987E08" w:rsidRPr="000560BF" w:rsidRDefault="00987E08" w:rsidP="00F446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BF">
              <w:rPr>
                <w:rFonts w:ascii="Arial" w:hAnsi="Arial" w:cs="Arial"/>
                <w:sz w:val="20"/>
                <w:szCs w:val="20"/>
              </w:rPr>
              <w:t>Stephen Goderski, James S</w:t>
            </w:r>
            <w:r w:rsidR="00900B4A" w:rsidRPr="000560BF">
              <w:rPr>
                <w:rFonts w:ascii="Arial" w:hAnsi="Arial" w:cs="Arial"/>
                <w:sz w:val="20"/>
                <w:szCs w:val="20"/>
              </w:rPr>
              <w:t xml:space="preserve">leight, Peter Hart, Oliver </w:t>
            </w:r>
            <w:proofErr w:type="gramStart"/>
            <w:r w:rsidR="00900B4A" w:rsidRPr="000560BF">
              <w:rPr>
                <w:rFonts w:ascii="Arial" w:hAnsi="Arial" w:cs="Arial"/>
                <w:sz w:val="20"/>
                <w:szCs w:val="20"/>
              </w:rPr>
              <w:t>Collinge</w:t>
            </w:r>
            <w:proofErr w:type="gramEnd"/>
            <w:r w:rsidR="000560BF" w:rsidRPr="000560BF">
              <w:rPr>
                <w:rFonts w:ascii="Arial" w:hAnsi="Arial" w:cs="Arial"/>
                <w:sz w:val="20"/>
                <w:szCs w:val="20"/>
              </w:rPr>
              <w:t xml:space="preserve"> and Stratford Hamilton</w:t>
            </w:r>
            <w:r w:rsidR="00C30AC1" w:rsidRPr="000560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7E08" w:rsidRPr="00C34841" w14:paraId="5182D3C4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0E906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86DA3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636D2A9E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2DFF8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9DA">
              <w:rPr>
                <w:rFonts w:ascii="Arial" w:hAnsi="Arial" w:cs="Arial"/>
                <w:b/>
                <w:sz w:val="18"/>
                <w:szCs w:val="18"/>
              </w:rPr>
              <w:t>Registered office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F7CC" w14:textId="77777777" w:rsidR="00987E08" w:rsidRPr="00C34841" w:rsidRDefault="00987E08" w:rsidP="004351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0B4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Westferry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Circus, Canary Wharf, London E14 4HD</w:t>
            </w:r>
          </w:p>
        </w:tc>
      </w:tr>
      <w:tr w:rsidR="00987E08" w:rsidRPr="00C34841" w14:paraId="2DA1306F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8E39C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0CD4F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06F1ADF4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BD8E9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9DA">
              <w:rPr>
                <w:rFonts w:ascii="Arial" w:hAnsi="Arial" w:cs="Arial"/>
                <w:b/>
                <w:sz w:val="18"/>
                <w:szCs w:val="18"/>
              </w:rPr>
              <w:t>Services: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D1A2A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Insolvency Practitioners</w:t>
            </w:r>
          </w:p>
        </w:tc>
      </w:tr>
      <w:tr w:rsidR="00987E08" w:rsidRPr="00C34841" w14:paraId="5A7744EF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B2450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CCD28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0586B5D5" w14:textId="77777777" w:rsidTr="0096198D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C5C1E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9DA">
              <w:rPr>
                <w:rFonts w:ascii="Arial" w:hAnsi="Arial" w:cs="Arial"/>
                <w:b/>
                <w:sz w:val="18"/>
                <w:szCs w:val="18"/>
              </w:rPr>
              <w:t>Practice addresses:</w:t>
            </w:r>
          </w:p>
        </w:tc>
      </w:tr>
      <w:tr w:rsidR="00987E08" w:rsidRPr="00C34841" w14:paraId="639B8DA4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A5212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B3E06" w14:textId="77777777" w:rsidR="00987E08" w:rsidRPr="00C34841" w:rsidRDefault="00900B4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00B4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Floor,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762F1" w14:textId="77777777" w:rsidR="00987E08" w:rsidRPr="00C34841" w:rsidRDefault="00987E08" w:rsidP="004351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0B4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Westferry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Circus</w:t>
            </w:r>
          </w:p>
        </w:tc>
      </w:tr>
      <w:tr w:rsidR="00987E08" w:rsidRPr="00C34841" w14:paraId="7CEB2CE3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5C177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BD9DB" w14:textId="77777777" w:rsidR="00987E08" w:rsidRPr="00C34841" w:rsidRDefault="00900B4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Park Row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1886B" w14:textId="77777777" w:rsidR="00987E08" w:rsidRPr="00C34841" w:rsidRDefault="00987E08" w:rsidP="004351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Canary Wharf</w:t>
            </w:r>
          </w:p>
        </w:tc>
      </w:tr>
      <w:tr w:rsidR="00987E08" w:rsidRPr="00C34841" w14:paraId="3B2CB293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5ED42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F349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Leeds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13075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</w:tr>
      <w:tr w:rsidR="00987E08" w:rsidRPr="00C34841" w14:paraId="3528BC17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827A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94A53" w14:textId="77777777" w:rsidR="00987E08" w:rsidRPr="00C34841" w:rsidRDefault="00900B4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LS1 5HN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54159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E14 4HD</w:t>
            </w:r>
          </w:p>
        </w:tc>
      </w:tr>
      <w:tr w:rsidR="00987E08" w:rsidRPr="00C34841" w14:paraId="6573936F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48024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4D159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2F4D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11B3ADBF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BE9E9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9DA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94849" w14:textId="77777777" w:rsidR="00987E08" w:rsidRPr="00C34841" w:rsidRDefault="00987E08" w:rsidP="0098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0113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841">
              <w:rPr>
                <w:rFonts w:ascii="Arial" w:hAnsi="Arial" w:cs="Arial"/>
                <w:sz w:val="20"/>
                <w:szCs w:val="20"/>
              </w:rPr>
              <w:t>244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841">
              <w:rPr>
                <w:rFonts w:ascii="Arial" w:hAnsi="Arial" w:cs="Arial"/>
                <w:sz w:val="20"/>
                <w:szCs w:val="20"/>
              </w:rPr>
              <w:t>5141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2503" w14:textId="77777777" w:rsidR="00987E08" w:rsidRPr="00C34841" w:rsidRDefault="00987E08" w:rsidP="0098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0207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841">
              <w:rPr>
                <w:rFonts w:ascii="Arial" w:hAnsi="Arial" w:cs="Arial"/>
                <w:sz w:val="20"/>
                <w:szCs w:val="20"/>
              </w:rPr>
              <w:t>495 1100</w:t>
            </w:r>
          </w:p>
        </w:tc>
      </w:tr>
      <w:tr w:rsidR="00987E08" w:rsidRPr="00C34841" w14:paraId="5287684C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4111" w14:textId="1C3D5162" w:rsidR="00E322AA" w:rsidRPr="004979DA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60A5C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83574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AA" w:rsidRPr="00C34841" w14:paraId="510F1840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744E2" w14:textId="77777777" w:rsidR="00E322AA" w:rsidRPr="004979DA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D072" w14:textId="77777777" w:rsidR="00E322AA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York Street</w:t>
            </w:r>
          </w:p>
          <w:p w14:paraId="52F5DE22" w14:textId="77777777" w:rsidR="00E322AA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Manchester</w:t>
            </w:r>
          </w:p>
          <w:p w14:paraId="2D4A89FD" w14:textId="7FE08451" w:rsidR="00E322AA" w:rsidRPr="00C34841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 2AW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C7A5E" w14:textId="77777777" w:rsidR="00E322AA" w:rsidRPr="00C34841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AA" w:rsidRPr="00C34841" w14:paraId="307B1AE6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0C15F" w14:textId="77777777" w:rsidR="00E322AA" w:rsidRPr="004979DA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7555F" w14:textId="77777777" w:rsidR="00E322AA" w:rsidRPr="00C34841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2DAA7" w14:textId="77777777" w:rsidR="00E322AA" w:rsidRPr="00C34841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AA" w:rsidRPr="00C34841" w14:paraId="609C73C2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5F09C" w14:textId="2EA7F11E" w:rsidR="00E322AA" w:rsidRPr="004979DA" w:rsidRDefault="0099323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C87F5" w14:textId="29ED89CC" w:rsidR="00E322AA" w:rsidRPr="00C34841" w:rsidRDefault="0099323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0161 552 4220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8A270" w14:textId="77777777" w:rsidR="00E322AA" w:rsidRPr="00C34841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AA" w:rsidRPr="00C34841" w14:paraId="0219B922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DBBD" w14:textId="77777777" w:rsidR="00E322AA" w:rsidRPr="004979DA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3CE16" w14:textId="77777777" w:rsidR="00E322AA" w:rsidRPr="00C34841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5CF2D" w14:textId="77777777" w:rsidR="00E322AA" w:rsidRPr="00C34841" w:rsidRDefault="00E322AA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32301F42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BF005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9DA">
              <w:rPr>
                <w:rFonts w:ascii="Arial" w:hAnsi="Arial" w:cs="Arial"/>
                <w:b/>
                <w:sz w:val="18"/>
                <w:szCs w:val="18"/>
              </w:rPr>
              <w:t>E mail: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3D918" w14:textId="049E43A8" w:rsidR="00987E08" w:rsidRPr="00C34841" w:rsidRDefault="00B2014F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95924" w:rsidRPr="000415D7">
                <w:rPr>
                  <w:rStyle w:val="Hyperlink"/>
                  <w:rFonts w:ascii="Arial" w:hAnsi="Arial" w:cs="Arial"/>
                  <w:sz w:val="20"/>
                  <w:szCs w:val="20"/>
                </w:rPr>
                <w:t>info@pkfgm.co.uk</w:t>
              </w:r>
            </w:hyperlink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2910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2B87B958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BF5A6" w14:textId="77777777" w:rsidR="00987E08" w:rsidRPr="004979DA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D6DE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EDC57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02935AEB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203E" w14:textId="77777777" w:rsidR="00987E08" w:rsidRPr="00C34841" w:rsidRDefault="00987E08" w:rsidP="00987E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615F">
              <w:rPr>
                <w:rFonts w:ascii="Arial" w:hAnsi="Arial" w:cs="Arial"/>
                <w:b/>
                <w:sz w:val="18"/>
                <w:szCs w:val="18"/>
              </w:rPr>
              <w:t>Trade/Public register: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791A3" w14:textId="77777777" w:rsidR="00987E08" w:rsidRPr="00987E08" w:rsidRDefault="00987E08" w:rsidP="00987E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AED03" w14:textId="77777777" w:rsidR="00987E08" w:rsidRPr="00987E08" w:rsidRDefault="00987E08" w:rsidP="00987E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7E08">
              <w:rPr>
                <w:rFonts w:ascii="Arial" w:hAnsi="Arial" w:cs="Arial"/>
                <w:b/>
                <w:sz w:val="20"/>
                <w:szCs w:val="20"/>
              </w:rPr>
              <w:t xml:space="preserve">The firm is registered with the following </w:t>
            </w:r>
            <w:proofErr w:type="gramStart"/>
            <w:r w:rsidRPr="00987E08">
              <w:rPr>
                <w:rFonts w:ascii="Arial" w:hAnsi="Arial" w:cs="Arial"/>
                <w:b/>
                <w:sz w:val="20"/>
                <w:szCs w:val="20"/>
              </w:rPr>
              <w:t>bodies:-</w:t>
            </w:r>
            <w:proofErr w:type="gramEnd"/>
          </w:p>
        </w:tc>
      </w:tr>
      <w:tr w:rsidR="00987E08" w:rsidRPr="00C34841" w14:paraId="51083272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3A024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7CD2" w14:textId="77777777" w:rsidR="00987E08" w:rsidRPr="00987E08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E08" w:rsidRPr="00C34841" w14:paraId="13493409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4150F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8AB87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R3 – The Association of Business Recovery Professional (</w:t>
            </w:r>
            <w:hyperlink r:id="rId8" w:history="1">
              <w:r w:rsidRPr="00C34841">
                <w:rPr>
                  <w:rStyle w:val="Hyperlink"/>
                  <w:rFonts w:ascii="Arial" w:hAnsi="Arial" w:cs="Arial"/>
                  <w:sz w:val="20"/>
                  <w:szCs w:val="20"/>
                </w:rPr>
                <w:t>www.r3.org.uk</w:t>
              </w:r>
            </w:hyperlink>
            <w:r w:rsidRPr="00C348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7E08" w:rsidRPr="00C34841" w14:paraId="49026F7F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DF683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6F71B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The Insolvency Practitioners Association (</w:t>
            </w:r>
            <w:hyperlink r:id="rId9" w:history="1">
              <w:r w:rsidRPr="00C34841">
                <w:rPr>
                  <w:rStyle w:val="Hyperlink"/>
                  <w:rFonts w:ascii="Arial" w:hAnsi="Arial" w:cs="Arial"/>
                  <w:sz w:val="20"/>
                  <w:szCs w:val="20"/>
                </w:rPr>
                <w:t>www.insolvency-practitioners.org.uk</w:t>
              </w:r>
            </w:hyperlink>
            <w:r w:rsidRPr="00C348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7E08" w:rsidRPr="00C34841" w14:paraId="11730221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26D0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9FBF1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The Institute of Chartered Accountants in England and Wales (</w:t>
            </w:r>
            <w:hyperlink r:id="rId10" w:history="1">
              <w:r w:rsidRPr="00C34841">
                <w:rPr>
                  <w:rStyle w:val="Hyperlink"/>
                  <w:rFonts w:ascii="Arial" w:hAnsi="Arial" w:cs="Arial"/>
                  <w:sz w:val="20"/>
                  <w:szCs w:val="20"/>
                </w:rPr>
                <w:t>www.icaewfirms.co.uk</w:t>
              </w:r>
            </w:hyperlink>
            <w:r w:rsidRPr="00C348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7E08" w:rsidRPr="00C34841" w14:paraId="3B8F796A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55A99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1524F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The Insolvency Service (</w:t>
            </w:r>
            <w:hyperlink r:id="rId11" w:history="1">
              <w:r w:rsidRPr="00C34841">
                <w:rPr>
                  <w:rStyle w:val="Hyperlink"/>
                  <w:rFonts w:ascii="Arial" w:hAnsi="Arial" w:cs="Arial"/>
                  <w:sz w:val="20"/>
                  <w:szCs w:val="20"/>
                </w:rPr>
                <w:t>www.insolvency.gov.uk</w:t>
              </w:r>
            </w:hyperlink>
            <w:r w:rsidRPr="00C348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7E08" w:rsidRPr="00C34841" w14:paraId="5DFBBD41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B3C0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70DE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7BE0DD67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840D4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15F">
              <w:rPr>
                <w:rFonts w:ascii="Arial" w:hAnsi="Arial" w:cs="Arial"/>
                <w:b/>
                <w:sz w:val="18"/>
                <w:szCs w:val="18"/>
              </w:rPr>
              <w:t>VAT number: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BD32A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179 0971 66</w:t>
            </w:r>
          </w:p>
        </w:tc>
      </w:tr>
      <w:tr w:rsidR="00987E08" w:rsidRPr="00C34841" w14:paraId="1C0BD2A8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AAF07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98E10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0A0B57C1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3E84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15F">
              <w:rPr>
                <w:rFonts w:ascii="Arial" w:hAnsi="Arial" w:cs="Arial"/>
                <w:b/>
                <w:sz w:val="18"/>
                <w:szCs w:val="18"/>
              </w:rPr>
              <w:t>Authorisation: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0C5F" w14:textId="22A55C6F" w:rsidR="00987E08" w:rsidRPr="00C34841" w:rsidRDefault="00987E08" w:rsidP="00FD14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Stephen Goderski, James Sleight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34841">
              <w:rPr>
                <w:rFonts w:ascii="Arial" w:hAnsi="Arial" w:cs="Arial"/>
                <w:sz w:val="20"/>
                <w:szCs w:val="20"/>
              </w:rPr>
              <w:t xml:space="preserve">Peter </w:t>
            </w:r>
            <w:proofErr w:type="gramStart"/>
            <w:r w:rsidRPr="00C34841">
              <w:rPr>
                <w:rFonts w:ascii="Arial" w:hAnsi="Arial" w:cs="Arial"/>
                <w:sz w:val="20"/>
                <w:szCs w:val="20"/>
              </w:rPr>
              <w:t>Hart</w:t>
            </w:r>
            <w:proofErr w:type="gramEnd"/>
            <w:r w:rsidR="00B90E6E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900B4A">
              <w:rPr>
                <w:rFonts w:ascii="Arial" w:hAnsi="Arial" w:cs="Arial"/>
                <w:sz w:val="20"/>
                <w:szCs w:val="20"/>
              </w:rPr>
              <w:t xml:space="preserve"> Oliver Collinge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841">
              <w:rPr>
                <w:rFonts w:ascii="Arial" w:hAnsi="Arial" w:cs="Arial"/>
                <w:sz w:val="20"/>
                <w:szCs w:val="20"/>
              </w:rPr>
              <w:t>are authorised to act as insolvency practitioners in the United Kingdom by the Insolvency Practitioners’ Association.</w:t>
            </w:r>
          </w:p>
        </w:tc>
      </w:tr>
      <w:tr w:rsidR="00987E08" w:rsidRPr="00C34841" w14:paraId="5F178F86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24646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EF05A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6D6E7C9B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9F7ED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8F653" w14:textId="0F623040" w:rsidR="00987E08" w:rsidRPr="00C34841" w:rsidRDefault="000560BF" w:rsidP="00AE35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Stratford Hamilton is</w:t>
            </w:r>
            <w:r w:rsidR="00987E08" w:rsidRPr="00C34841">
              <w:rPr>
                <w:rFonts w:ascii="Arial" w:hAnsi="Arial" w:cs="Arial"/>
                <w:sz w:val="20"/>
                <w:szCs w:val="20"/>
              </w:rPr>
              <w:t xml:space="preserve"> authorised to act as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987E08" w:rsidRPr="00C34841">
              <w:rPr>
                <w:rFonts w:ascii="Arial" w:hAnsi="Arial" w:cs="Arial"/>
                <w:sz w:val="20"/>
                <w:szCs w:val="20"/>
              </w:rPr>
              <w:t>insolvency practitioner in the United Kingdom by the Institute of Chartered Accountants in England and Wales.</w:t>
            </w:r>
          </w:p>
        </w:tc>
      </w:tr>
      <w:tr w:rsidR="00987E08" w:rsidRPr="00C34841" w14:paraId="55586E07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F37D3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D7AAF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19C80DFE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1F64F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15F">
              <w:rPr>
                <w:rFonts w:ascii="Arial" w:hAnsi="Arial" w:cs="Arial"/>
                <w:b/>
                <w:sz w:val="18"/>
                <w:szCs w:val="18"/>
              </w:rPr>
              <w:t>General terms and conditions: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30086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 xml:space="preserve">Our pricing structure and any case-specific terms and conditions of business are provided at the commencement of any engagement to which they apply, either by way of a letter of engagement or otherwise as appropriate in the </w:t>
            </w:r>
            <w:proofErr w:type="gramStart"/>
            <w:r w:rsidRPr="00C34841">
              <w:rPr>
                <w:rFonts w:ascii="Arial" w:hAnsi="Arial" w:cs="Arial"/>
                <w:sz w:val="20"/>
                <w:szCs w:val="20"/>
              </w:rPr>
              <w:t>particular circumstances</w:t>
            </w:r>
            <w:proofErr w:type="gramEnd"/>
            <w:r w:rsidRPr="00C34841">
              <w:rPr>
                <w:rFonts w:ascii="Arial" w:hAnsi="Arial" w:cs="Arial"/>
                <w:sz w:val="20"/>
                <w:szCs w:val="20"/>
              </w:rPr>
              <w:t xml:space="preserve"> of the matter concerned.</w:t>
            </w:r>
          </w:p>
        </w:tc>
      </w:tr>
      <w:tr w:rsidR="00987E08" w:rsidRPr="00C34841" w14:paraId="463F615C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D7FAC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7BE61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7749A41A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6E343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936D7" w14:textId="6A62FC49" w:rsidR="00804731" w:rsidRPr="00C34841" w:rsidRDefault="00987E08" w:rsidP="0099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The conduct of insolvency appointments is regulated by the Insolvency Act and Rules 1986 (as amended) and ancillary legislation, together with professional practice regulations issued by our Regulatory Professional Bodies.</w:t>
            </w:r>
          </w:p>
        </w:tc>
      </w:tr>
      <w:tr w:rsidR="00987E08" w:rsidRPr="00C34841" w14:paraId="432844D4" w14:textId="77777777" w:rsidTr="0096198D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264F8" w14:textId="5C62C6BB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E08" w:rsidRPr="00C34841" w14:paraId="0FA2C7B7" w14:textId="77777777" w:rsidTr="0096198D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53E79" w14:textId="4F286977" w:rsidR="00987E08" w:rsidRPr="00C34841" w:rsidRDefault="00FF7DB0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615F">
              <w:rPr>
                <w:rFonts w:ascii="Arial" w:hAnsi="Arial" w:cs="Arial"/>
                <w:b/>
                <w:sz w:val="18"/>
                <w:szCs w:val="18"/>
              </w:rPr>
              <w:t>Applicable law: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A9068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The Courts of England and Wales shall have exclusive jurisdiction in relation to any claim, dispute or difference concerning the service and any matter arising from it.</w:t>
            </w:r>
          </w:p>
        </w:tc>
      </w:tr>
      <w:tr w:rsidR="00987E08" w:rsidRPr="00C34841" w14:paraId="5689743A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8" w:type="dxa"/>
          <w:wAfter w:w="634" w:type="dxa"/>
        </w:trPr>
        <w:tc>
          <w:tcPr>
            <w:tcW w:w="9242" w:type="dxa"/>
            <w:gridSpan w:val="4"/>
            <w:shd w:val="clear" w:color="auto" w:fill="auto"/>
          </w:tcPr>
          <w:p w14:paraId="5C6B0FE7" w14:textId="77777777" w:rsidR="00987E08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4E07AF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15F">
              <w:rPr>
                <w:rFonts w:ascii="Arial" w:hAnsi="Arial" w:cs="Arial"/>
                <w:b/>
                <w:sz w:val="18"/>
                <w:szCs w:val="18"/>
              </w:rPr>
              <w:t>Complaints and requests for information:</w:t>
            </w:r>
          </w:p>
        </w:tc>
      </w:tr>
      <w:tr w:rsidR="00987E08" w:rsidRPr="00C34841" w14:paraId="5329C1A9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938" w:type="dxa"/>
            <w:shd w:val="clear" w:color="auto" w:fill="auto"/>
          </w:tcPr>
          <w:p w14:paraId="723CC2FD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20114FA9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0D01AA0C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938" w:type="dxa"/>
            <w:shd w:val="clear" w:color="auto" w:fill="auto"/>
          </w:tcPr>
          <w:p w14:paraId="03F7643D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44CD2498" w14:textId="77777777" w:rsidR="00987E08" w:rsidRPr="00C34841" w:rsidRDefault="00987E08" w:rsidP="00C500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 xml:space="preserve">Complaints and requests for information can be made at first instance by contacting the </w:t>
            </w:r>
            <w:r>
              <w:rPr>
                <w:rFonts w:ascii="Arial" w:hAnsi="Arial" w:cs="Arial"/>
                <w:sz w:val="20"/>
                <w:szCs w:val="20"/>
              </w:rPr>
              <w:t xml:space="preserve">Licensed Insolvency Practitioner </w:t>
            </w:r>
            <w:r w:rsidRPr="00C34841">
              <w:rPr>
                <w:rFonts w:ascii="Arial" w:hAnsi="Arial" w:cs="Arial"/>
                <w:sz w:val="20"/>
                <w:szCs w:val="20"/>
              </w:rPr>
              <w:t>dealing with the matter in question at either of the firm’s offices as appropriate, via the email address, telephone or fax numbers provided.</w:t>
            </w:r>
          </w:p>
        </w:tc>
      </w:tr>
      <w:tr w:rsidR="00987E08" w:rsidRPr="00C34841" w14:paraId="77346F15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938" w:type="dxa"/>
            <w:shd w:val="clear" w:color="auto" w:fill="auto"/>
          </w:tcPr>
          <w:p w14:paraId="13E54523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5D99FAB9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2BFA9002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938" w:type="dxa"/>
            <w:shd w:val="clear" w:color="auto" w:fill="auto"/>
          </w:tcPr>
          <w:p w14:paraId="31967DB4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75612CA4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In the event of you not being satisfied by his response, you should contact Stephen Goderski at the London office.</w:t>
            </w:r>
          </w:p>
        </w:tc>
      </w:tr>
      <w:tr w:rsidR="00987E08" w:rsidRPr="00C34841" w14:paraId="3AB00EE6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938" w:type="dxa"/>
            <w:shd w:val="clear" w:color="auto" w:fill="auto"/>
          </w:tcPr>
          <w:p w14:paraId="46735D17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52C71651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2110590E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938" w:type="dxa"/>
            <w:shd w:val="clear" w:color="auto" w:fill="auto"/>
          </w:tcPr>
          <w:p w14:paraId="0F384F7F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7E4E689D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If the matter remains unresolved, you may wish to contact the ‘Complaints Gateway’ hosted by the Insolvency Service.</w:t>
            </w:r>
          </w:p>
        </w:tc>
      </w:tr>
      <w:tr w:rsidR="00987E08" w:rsidRPr="00C34841" w14:paraId="71474E22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938" w:type="dxa"/>
            <w:shd w:val="clear" w:color="auto" w:fill="auto"/>
          </w:tcPr>
          <w:p w14:paraId="0B35380B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13B3BC31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79E82F3F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938" w:type="dxa"/>
            <w:shd w:val="clear" w:color="auto" w:fill="auto"/>
          </w:tcPr>
          <w:p w14:paraId="578D603E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65B207F5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 xml:space="preserve">Complaints can be made by e mail, </w:t>
            </w:r>
            <w:proofErr w:type="gramStart"/>
            <w:r w:rsidRPr="00C34841">
              <w:rPr>
                <w:rFonts w:ascii="Arial" w:hAnsi="Arial" w:cs="Arial"/>
                <w:sz w:val="20"/>
                <w:szCs w:val="20"/>
              </w:rPr>
              <w:t>telephone</w:t>
            </w:r>
            <w:proofErr w:type="gramEnd"/>
            <w:r w:rsidRPr="00C34841">
              <w:rPr>
                <w:rFonts w:ascii="Arial" w:hAnsi="Arial" w:cs="Arial"/>
                <w:sz w:val="20"/>
                <w:szCs w:val="20"/>
              </w:rPr>
              <w:t xml:space="preserve"> or letter to staff at the ‘Complaints Gateway’ as follows:</w:t>
            </w:r>
          </w:p>
        </w:tc>
      </w:tr>
      <w:tr w:rsidR="00987E08" w:rsidRPr="00C34841" w14:paraId="76B68B34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938" w:type="dxa"/>
            <w:shd w:val="clear" w:color="auto" w:fill="auto"/>
          </w:tcPr>
          <w:p w14:paraId="5B697DA5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79060339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08" w:rsidRPr="00C34841" w14:paraId="5076BB8B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  <w:trHeight w:val="354"/>
        </w:trPr>
        <w:tc>
          <w:tcPr>
            <w:tcW w:w="1938" w:type="dxa"/>
            <w:shd w:val="clear" w:color="auto" w:fill="auto"/>
          </w:tcPr>
          <w:p w14:paraId="54074080" w14:textId="77777777" w:rsidR="00987E08" w:rsidRPr="00C34841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35425D05" w14:textId="77777777" w:rsidR="00987E08" w:rsidRPr="00C34841" w:rsidRDefault="00987E08" w:rsidP="00C348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Calling the Insolvency Service Enquiry Line on 0845 602 9848</w:t>
            </w:r>
          </w:p>
          <w:p w14:paraId="4DF75F95" w14:textId="77777777" w:rsidR="00987E08" w:rsidRPr="00C34841" w:rsidRDefault="00987E08" w:rsidP="00C348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(Monday to Friday 8am to 5pm),</w:t>
            </w:r>
          </w:p>
          <w:p w14:paraId="6AF81543" w14:textId="6FC0EFB6" w:rsidR="00987E08" w:rsidRPr="00C34841" w:rsidRDefault="00987E08" w:rsidP="00C348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E mailing the completed complaints form to:</w:t>
            </w:r>
            <w:r w:rsidR="00FF7DB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C34841">
                <w:rPr>
                  <w:rStyle w:val="Hyperlink"/>
                  <w:rFonts w:ascii="Arial" w:hAnsi="Arial" w:cs="Arial"/>
                  <w:sz w:val="20"/>
                  <w:szCs w:val="20"/>
                </w:rPr>
                <w:t>Ip.complaints@insolvency.gsi.gov.uk</w:t>
              </w:r>
            </w:hyperlink>
          </w:p>
          <w:p w14:paraId="4A549091" w14:textId="77777777" w:rsidR="00987E08" w:rsidRPr="00C34841" w:rsidRDefault="00987E08" w:rsidP="00C348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Posting the completed complaints form to:</w:t>
            </w:r>
          </w:p>
          <w:p w14:paraId="293AF3CD" w14:textId="77777777" w:rsidR="00987E08" w:rsidRPr="00C34841" w:rsidRDefault="00987E08" w:rsidP="00C348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IP Complaints, Insolvency Service, 3</w:t>
            </w:r>
            <w:r w:rsidRPr="00C3484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C34841">
              <w:rPr>
                <w:rFonts w:ascii="Arial" w:hAnsi="Arial" w:cs="Arial"/>
                <w:sz w:val="20"/>
                <w:szCs w:val="20"/>
              </w:rPr>
              <w:t xml:space="preserve"> Floor, 1 City Walk, Leeds LS11 </w:t>
            </w:r>
            <w:proofErr w:type="gramStart"/>
            <w:r w:rsidRPr="00C34841">
              <w:rPr>
                <w:rFonts w:ascii="Arial" w:hAnsi="Arial" w:cs="Arial"/>
                <w:sz w:val="20"/>
                <w:szCs w:val="20"/>
              </w:rPr>
              <w:t>9DA</w:t>
            </w:r>
            <w:proofErr w:type="gramEnd"/>
          </w:p>
          <w:p w14:paraId="225FCE36" w14:textId="72757693" w:rsidR="00FF7DB0" w:rsidRPr="00C34841" w:rsidRDefault="00987E08" w:rsidP="009932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841">
              <w:rPr>
                <w:rFonts w:ascii="Arial" w:hAnsi="Arial" w:cs="Arial"/>
                <w:sz w:val="20"/>
                <w:szCs w:val="20"/>
              </w:rPr>
              <w:t>For more details, please visit:</w:t>
            </w:r>
            <w:r w:rsidR="00FF7DB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457735">
                <w:rPr>
                  <w:rStyle w:val="Hyperlink"/>
                  <w:rFonts w:ascii="Arial" w:hAnsi="Arial" w:cs="Arial"/>
                  <w:sz w:val="20"/>
                  <w:szCs w:val="20"/>
                </w:rPr>
                <w:t>www.gov.uk/complain-about-insolvency-practitioner</w:t>
              </w:r>
            </w:hyperlink>
          </w:p>
        </w:tc>
      </w:tr>
      <w:tr w:rsidR="00987E08" w:rsidRPr="00C34841" w14:paraId="095BB8CD" w14:textId="77777777" w:rsidTr="00343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938" w:type="dxa"/>
            <w:shd w:val="clear" w:color="auto" w:fill="auto"/>
          </w:tcPr>
          <w:p w14:paraId="760599BC" w14:textId="77777777" w:rsidR="00987E08" w:rsidRPr="0084615F" w:rsidRDefault="00987E08" w:rsidP="00C348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15F">
              <w:rPr>
                <w:rFonts w:ascii="Arial" w:hAnsi="Arial" w:cs="Arial"/>
                <w:b/>
                <w:sz w:val="18"/>
                <w:szCs w:val="18"/>
              </w:rPr>
              <w:t>Insurance: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4FE7C41F" w14:textId="77777777" w:rsidR="00987E08" w:rsidRPr="00C34841" w:rsidRDefault="00987E08" w:rsidP="00A50F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leading professional indemnity insurer is Markel International Insurance Co</w:t>
            </w:r>
            <w:r w:rsidR="00662B52">
              <w:rPr>
                <w:rFonts w:ascii="Arial" w:hAnsi="Arial" w:cs="Arial"/>
                <w:sz w:val="20"/>
                <w:szCs w:val="20"/>
              </w:rPr>
              <w:t>mpany Limited (Policy Number P18</w:t>
            </w:r>
            <w:r>
              <w:rPr>
                <w:rFonts w:ascii="Arial" w:hAnsi="Arial" w:cs="Arial"/>
                <w:sz w:val="20"/>
                <w:szCs w:val="20"/>
              </w:rPr>
              <w:t>A294773P), who can be contacted via our insurance brokers Howden Windsor of 71 Fenchurch Street, London EC3M 4BS. The territorial and jurisdictional coverage is Worldwide.</w:t>
            </w:r>
          </w:p>
        </w:tc>
      </w:tr>
    </w:tbl>
    <w:p w14:paraId="1ECD344A" w14:textId="77777777" w:rsidR="00987E08" w:rsidRDefault="00987E08" w:rsidP="00CE5E5C">
      <w:pPr>
        <w:jc w:val="both"/>
        <w:rPr>
          <w:rFonts w:ascii="Arial" w:hAnsi="Arial" w:cs="Arial"/>
          <w:sz w:val="20"/>
          <w:szCs w:val="20"/>
        </w:rPr>
      </w:pPr>
    </w:p>
    <w:p w14:paraId="415BCDFB" w14:textId="77777777" w:rsidR="00987E08" w:rsidRDefault="00987E08" w:rsidP="00CE5E5C">
      <w:pPr>
        <w:jc w:val="both"/>
        <w:rPr>
          <w:rFonts w:ascii="Arial" w:hAnsi="Arial" w:cs="Arial"/>
          <w:sz w:val="20"/>
          <w:szCs w:val="20"/>
        </w:rPr>
        <w:sectPr w:rsidR="00987E08" w:rsidSect="00E30E18">
          <w:headerReference w:type="default" r:id="rId14"/>
          <w:pgSz w:w="11906" w:h="16838"/>
          <w:pgMar w:top="1560" w:right="1440" w:bottom="993" w:left="1440" w:header="708" w:footer="708" w:gutter="0"/>
          <w:pgNumType w:start="1"/>
          <w:cols w:space="708"/>
          <w:docGrid w:linePitch="360"/>
        </w:sectPr>
      </w:pPr>
    </w:p>
    <w:p w14:paraId="79F9DA84" w14:textId="77777777" w:rsidR="00987E08" w:rsidRDefault="00987E08" w:rsidP="00CE5E5C">
      <w:pPr>
        <w:jc w:val="both"/>
        <w:rPr>
          <w:rFonts w:ascii="Arial" w:hAnsi="Arial" w:cs="Arial"/>
          <w:sz w:val="20"/>
          <w:szCs w:val="20"/>
        </w:rPr>
        <w:sectPr w:rsidR="00987E08" w:rsidSect="00E30E18">
          <w:type w:val="continuous"/>
          <w:pgSz w:w="11906" w:h="16838"/>
          <w:pgMar w:top="709" w:right="1440" w:bottom="993" w:left="1440" w:header="708" w:footer="708" w:gutter="0"/>
          <w:cols w:space="708"/>
          <w:docGrid w:linePitch="360"/>
        </w:sectPr>
      </w:pPr>
    </w:p>
    <w:p w14:paraId="0140ECF9" w14:textId="77777777" w:rsidR="00987E08" w:rsidRPr="00030B4F" w:rsidRDefault="00987E08" w:rsidP="00CE5E5C">
      <w:pPr>
        <w:jc w:val="both"/>
        <w:rPr>
          <w:rFonts w:ascii="Arial" w:hAnsi="Arial" w:cs="Arial"/>
          <w:sz w:val="20"/>
          <w:szCs w:val="20"/>
        </w:rPr>
      </w:pPr>
    </w:p>
    <w:sectPr w:rsidR="00987E08" w:rsidRPr="00030B4F" w:rsidSect="00E30E18">
      <w:type w:val="continuous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3392" w14:textId="77777777" w:rsidR="00E30E18" w:rsidRDefault="00E30E18" w:rsidP="00D507E3">
      <w:pPr>
        <w:spacing w:after="0" w:line="240" w:lineRule="auto"/>
      </w:pPr>
      <w:r>
        <w:separator/>
      </w:r>
    </w:p>
  </w:endnote>
  <w:endnote w:type="continuationSeparator" w:id="0">
    <w:p w14:paraId="3CC20F7B" w14:textId="77777777" w:rsidR="00E30E18" w:rsidRDefault="00E30E18" w:rsidP="00D5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F67D" w14:textId="77777777" w:rsidR="00E30E18" w:rsidRDefault="00E30E18" w:rsidP="00D507E3">
      <w:pPr>
        <w:spacing w:after="0" w:line="240" w:lineRule="auto"/>
      </w:pPr>
      <w:r>
        <w:separator/>
      </w:r>
    </w:p>
  </w:footnote>
  <w:footnote w:type="continuationSeparator" w:id="0">
    <w:p w14:paraId="086452C6" w14:textId="77777777" w:rsidR="00E30E18" w:rsidRDefault="00E30E18" w:rsidP="00D5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A7F3" w14:textId="6EBA53A0" w:rsidR="006F22E0" w:rsidRDefault="006F22E0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D2718A2" wp14:editId="23F240D8">
          <wp:simplePos x="0" y="0"/>
          <wp:positionH relativeFrom="page">
            <wp:posOffset>5935980</wp:posOffset>
          </wp:positionH>
          <wp:positionV relativeFrom="page">
            <wp:posOffset>448945</wp:posOffset>
          </wp:positionV>
          <wp:extent cx="979170" cy="42418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CITI002"/>
    <w:docVar w:name="DocName" w:val="\\Gmc01b\oldapps\IPS_SQL\Master Docs - GMC\MVL 2010\801A - Service Directive Statement GM  Co.doc"/>
  </w:docVars>
  <w:rsids>
    <w:rsidRoot w:val="008516C2"/>
    <w:rsid w:val="000025E2"/>
    <w:rsid w:val="00030B4F"/>
    <w:rsid w:val="000440DC"/>
    <w:rsid w:val="000560BF"/>
    <w:rsid w:val="00076E4F"/>
    <w:rsid w:val="00090BDB"/>
    <w:rsid w:val="000A665A"/>
    <w:rsid w:val="0011134B"/>
    <w:rsid w:val="0012234A"/>
    <w:rsid w:val="0018298C"/>
    <w:rsid w:val="001F2D79"/>
    <w:rsid w:val="0020161A"/>
    <w:rsid w:val="00284FBE"/>
    <w:rsid w:val="00296115"/>
    <w:rsid w:val="002A1E5E"/>
    <w:rsid w:val="002A2A3A"/>
    <w:rsid w:val="002C623C"/>
    <w:rsid w:val="002D2F98"/>
    <w:rsid w:val="00343680"/>
    <w:rsid w:val="00355341"/>
    <w:rsid w:val="0037116F"/>
    <w:rsid w:val="003859A4"/>
    <w:rsid w:val="003A1545"/>
    <w:rsid w:val="003B0476"/>
    <w:rsid w:val="003C3178"/>
    <w:rsid w:val="003E22FE"/>
    <w:rsid w:val="004344D3"/>
    <w:rsid w:val="004351C8"/>
    <w:rsid w:val="00442A46"/>
    <w:rsid w:val="00476271"/>
    <w:rsid w:val="004862F5"/>
    <w:rsid w:val="004979DA"/>
    <w:rsid w:val="004A04E7"/>
    <w:rsid w:val="004B570F"/>
    <w:rsid w:val="004C1705"/>
    <w:rsid w:val="00512C61"/>
    <w:rsid w:val="00562F71"/>
    <w:rsid w:val="00574C25"/>
    <w:rsid w:val="00577C5E"/>
    <w:rsid w:val="0058335D"/>
    <w:rsid w:val="005966C2"/>
    <w:rsid w:val="005A4A81"/>
    <w:rsid w:val="005B3993"/>
    <w:rsid w:val="005B7776"/>
    <w:rsid w:val="005C098B"/>
    <w:rsid w:val="005E3EE6"/>
    <w:rsid w:val="006303AB"/>
    <w:rsid w:val="00662B52"/>
    <w:rsid w:val="006A3747"/>
    <w:rsid w:val="006D1B78"/>
    <w:rsid w:val="006D5B6D"/>
    <w:rsid w:val="006F22E0"/>
    <w:rsid w:val="00703901"/>
    <w:rsid w:val="00781024"/>
    <w:rsid w:val="007B2C94"/>
    <w:rsid w:val="00804731"/>
    <w:rsid w:val="00810F41"/>
    <w:rsid w:val="0082304A"/>
    <w:rsid w:val="00825424"/>
    <w:rsid w:val="00833882"/>
    <w:rsid w:val="0084615F"/>
    <w:rsid w:val="00850504"/>
    <w:rsid w:val="008516C2"/>
    <w:rsid w:val="00895CA5"/>
    <w:rsid w:val="008A00B9"/>
    <w:rsid w:val="008A0262"/>
    <w:rsid w:val="008B5D24"/>
    <w:rsid w:val="008E6B02"/>
    <w:rsid w:val="00900B4A"/>
    <w:rsid w:val="009124A5"/>
    <w:rsid w:val="00931E30"/>
    <w:rsid w:val="009338BC"/>
    <w:rsid w:val="0096198D"/>
    <w:rsid w:val="00970959"/>
    <w:rsid w:val="00980012"/>
    <w:rsid w:val="0098758A"/>
    <w:rsid w:val="00987E08"/>
    <w:rsid w:val="00993238"/>
    <w:rsid w:val="009D4F2B"/>
    <w:rsid w:val="009F27AB"/>
    <w:rsid w:val="00A50FED"/>
    <w:rsid w:val="00A57137"/>
    <w:rsid w:val="00A97CD2"/>
    <w:rsid w:val="00AE0477"/>
    <w:rsid w:val="00AE35FC"/>
    <w:rsid w:val="00B00598"/>
    <w:rsid w:val="00B2014F"/>
    <w:rsid w:val="00B4475E"/>
    <w:rsid w:val="00B45D0F"/>
    <w:rsid w:val="00B90E6E"/>
    <w:rsid w:val="00B95924"/>
    <w:rsid w:val="00BD5719"/>
    <w:rsid w:val="00C30AC1"/>
    <w:rsid w:val="00C34841"/>
    <w:rsid w:val="00C50068"/>
    <w:rsid w:val="00C53510"/>
    <w:rsid w:val="00C676FB"/>
    <w:rsid w:val="00C929D7"/>
    <w:rsid w:val="00CD487D"/>
    <w:rsid w:val="00CE5E5C"/>
    <w:rsid w:val="00D17F42"/>
    <w:rsid w:val="00D362FC"/>
    <w:rsid w:val="00D461CA"/>
    <w:rsid w:val="00D507E3"/>
    <w:rsid w:val="00D54F09"/>
    <w:rsid w:val="00D90C9A"/>
    <w:rsid w:val="00D91691"/>
    <w:rsid w:val="00E30E18"/>
    <w:rsid w:val="00E322AA"/>
    <w:rsid w:val="00E77CD3"/>
    <w:rsid w:val="00E84F80"/>
    <w:rsid w:val="00E91F73"/>
    <w:rsid w:val="00EB2F33"/>
    <w:rsid w:val="00EF3728"/>
    <w:rsid w:val="00F214B8"/>
    <w:rsid w:val="00F44665"/>
    <w:rsid w:val="00FC4049"/>
    <w:rsid w:val="00FD14F7"/>
    <w:rsid w:val="00FD255B"/>
    <w:rsid w:val="00FE1982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7E68A"/>
  <w15:docId w15:val="{3615442D-0AB0-48E2-99F7-5C382F93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516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7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507E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7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507E3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5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3.org.uk" TargetMode="External"/><Relationship Id="rId13" Type="http://schemas.openxmlformats.org/officeDocument/2006/relationships/hyperlink" Target="http://www.gov.uk/complain-about-insolvency-practition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kfgm.co.uk" TargetMode="External"/><Relationship Id="rId12" Type="http://schemas.openxmlformats.org/officeDocument/2006/relationships/hyperlink" Target="mailto:Ip.complaints@insolvency.gsi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solvency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aewfirm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olvency-practitioners.org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DEA3-F1C4-44BE-AE9D-BE7A5EEA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Links>
    <vt:vector size="42" baseType="variant">
      <vt:variant>
        <vt:i4>5898269</vt:i4>
      </vt:variant>
      <vt:variant>
        <vt:i4>18</vt:i4>
      </vt:variant>
      <vt:variant>
        <vt:i4>0</vt:i4>
      </vt:variant>
      <vt:variant>
        <vt:i4>5</vt:i4>
      </vt:variant>
      <vt:variant>
        <vt:lpwstr>http://www.gov.uk/complain-about-insolvency-practitioner</vt:lpwstr>
      </vt:variant>
      <vt:variant>
        <vt:lpwstr/>
      </vt:variant>
      <vt:variant>
        <vt:i4>7274511</vt:i4>
      </vt:variant>
      <vt:variant>
        <vt:i4>15</vt:i4>
      </vt:variant>
      <vt:variant>
        <vt:i4>0</vt:i4>
      </vt:variant>
      <vt:variant>
        <vt:i4>5</vt:i4>
      </vt:variant>
      <vt:variant>
        <vt:lpwstr>mailto:Ip.complaints@insolvency.gsi.gov.uk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http://www.insolvency.gov.uk/</vt:lpwstr>
      </vt:variant>
      <vt:variant>
        <vt:lpwstr/>
      </vt:variant>
      <vt:variant>
        <vt:i4>4915223</vt:i4>
      </vt:variant>
      <vt:variant>
        <vt:i4>9</vt:i4>
      </vt:variant>
      <vt:variant>
        <vt:i4>0</vt:i4>
      </vt:variant>
      <vt:variant>
        <vt:i4>5</vt:i4>
      </vt:variant>
      <vt:variant>
        <vt:lpwstr>http://www.icaewfirms.co.uk/</vt:lpwstr>
      </vt:variant>
      <vt:variant>
        <vt:lpwstr/>
      </vt:variant>
      <vt:variant>
        <vt:i4>6422565</vt:i4>
      </vt:variant>
      <vt:variant>
        <vt:i4>6</vt:i4>
      </vt:variant>
      <vt:variant>
        <vt:i4>0</vt:i4>
      </vt:variant>
      <vt:variant>
        <vt:i4>5</vt:i4>
      </vt:variant>
      <vt:variant>
        <vt:lpwstr>http://www.insolvency-practitioners.org.uk/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http://www.r3.org.uk/</vt:lpwstr>
      </vt:variant>
      <vt:variant>
        <vt:lpwstr/>
      </vt:variant>
      <vt:variant>
        <vt:i4>7864322</vt:i4>
      </vt:variant>
      <vt:variant>
        <vt:i4>0</vt:i4>
      </vt:variant>
      <vt:variant>
        <vt:i4>0</vt:i4>
      </vt:variant>
      <vt:variant>
        <vt:i4>5</vt:i4>
      </vt:variant>
      <vt:variant>
        <vt:lpwstr>mailto:info@geoffreymartin.co.uk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Hill</dc:creator>
  <cp:lastModifiedBy>Caio Domingues</cp:lastModifiedBy>
  <cp:revision>2</cp:revision>
  <cp:lastPrinted>2023-06-08T15:11:00Z</cp:lastPrinted>
  <dcterms:created xsi:type="dcterms:W3CDTF">2024-05-07T10:46:00Z</dcterms:created>
  <dcterms:modified xsi:type="dcterms:W3CDTF">2024-05-07T10:46:00Z</dcterms:modified>
</cp:coreProperties>
</file>