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0B2C" w14:textId="77777777" w:rsidR="008F0FDE" w:rsidRDefault="008F0FDE" w:rsidP="008F0FDE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– pro forma </w:t>
      </w:r>
    </w:p>
    <w:p w14:paraId="54E3588C" w14:textId="77777777" w:rsidR="008F0FDE" w:rsidRPr="007D42F3" w:rsidRDefault="008F0FDE" w:rsidP="008F0F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  <w:r w:rsidRPr="007D42F3">
        <w:rPr>
          <w:rFonts w:eastAsia="Times New Roman" w:cs="Arial"/>
          <w:b/>
          <w:szCs w:val="20"/>
        </w:rPr>
        <w:fldChar w:fldCharType="begin"/>
      </w:r>
      <w:r w:rsidRPr="007D42F3">
        <w:rPr>
          <w:rFonts w:eastAsia="Times New Roman" w:cs="Arial"/>
          <w:b/>
          <w:szCs w:val="20"/>
        </w:rPr>
        <w:instrText xml:space="preserve"> MERGEFIELD SmallBodyName </w:instrText>
      </w:r>
      <w:r w:rsidRPr="007D42F3">
        <w:rPr>
          <w:rFonts w:eastAsia="Times New Roman" w:cs="Arial"/>
          <w:b/>
          <w:szCs w:val="20"/>
        </w:rPr>
        <w:fldChar w:fldCharType="separate"/>
      </w:r>
      <w:r>
        <w:rPr>
          <w:rFonts w:eastAsia="Times New Roman" w:cs="Arial"/>
          <w:b/>
          <w:noProof/>
          <w:szCs w:val="20"/>
        </w:rPr>
        <w:t>«SmallBodyName»</w:t>
      </w:r>
      <w:r w:rsidRPr="007D42F3">
        <w:rPr>
          <w:rFonts w:eastAsia="Times New Roman" w:cs="Arial"/>
          <w:b/>
          <w:szCs w:val="20"/>
        </w:rPr>
        <w:fldChar w:fldCharType="end"/>
      </w:r>
    </w:p>
    <w:p w14:paraId="30C8CA3B" w14:textId="77777777" w:rsidR="008F0FDE" w:rsidRDefault="008F0FDE" w:rsidP="008F0F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</w:p>
    <w:p w14:paraId="2202FBF9" w14:textId="77777777" w:rsidR="008F0FDE" w:rsidRPr="007D42F3" w:rsidRDefault="008F0FDE" w:rsidP="008F0F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F023A">
        <w:rPr>
          <w:rFonts w:eastAsia="Times New Roman" w:cs="Arial"/>
          <w:b/>
          <w:noProof/>
          <w:sz w:val="20"/>
          <w:szCs w:val="20"/>
        </w:rPr>
        <w:t>Please provide full explanations, including numerical values</w:t>
      </w:r>
      <w:r>
        <w:rPr>
          <w:rFonts w:eastAsia="Times New Roman" w:cs="Arial"/>
          <w:noProof/>
          <w:sz w:val="20"/>
          <w:szCs w:val="20"/>
        </w:rPr>
        <w:t>,</w:t>
      </w:r>
      <w:r w:rsidRPr="007D42F3">
        <w:rPr>
          <w:rFonts w:eastAsia="Times New Roman" w:cs="Arial"/>
          <w:noProof/>
          <w:sz w:val="20"/>
          <w:szCs w:val="20"/>
        </w:rPr>
        <w:t xml:space="preserve"> for the following:</w:t>
      </w:r>
    </w:p>
    <w:p w14:paraId="67893E52" w14:textId="77777777" w:rsidR="008F0FDE" w:rsidRPr="007D42F3" w:rsidRDefault="008F0FDE" w:rsidP="008F0F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7D42F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</w:t>
      </w:r>
      <w:bookmarkStart w:id="0" w:name="_GoBack"/>
      <w:bookmarkEnd w:id="0"/>
      <w:r w:rsidRPr="007D42F3">
        <w:rPr>
          <w:rFonts w:eastAsia="Times New Roman" w:cs="Arial"/>
          <w:noProof/>
          <w:sz w:val="20"/>
          <w:szCs w:val="20"/>
        </w:rPr>
        <w:t xml:space="preserve">£200); </w:t>
      </w:r>
    </w:p>
    <w:p w14:paraId="1728B8D7" w14:textId="77777777" w:rsidR="008F0FDE" w:rsidRPr="007D42F3" w:rsidRDefault="008F0FDE" w:rsidP="008F0F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7D42F3">
        <w:rPr>
          <w:rFonts w:eastAsia="Times New Roman" w:cs="Arial"/>
          <w:noProof/>
          <w:sz w:val="20"/>
          <w:szCs w:val="20"/>
        </w:rPr>
        <w:t>if the total reserves (Box 7) figure is more than twice the annual precept value (Box 2).</w:t>
      </w:r>
    </w:p>
    <w:p w14:paraId="1047DCE9" w14:textId="77777777" w:rsidR="008F0FDE" w:rsidRDefault="008F0FDE" w:rsidP="008F0FDE">
      <w:pPr>
        <w:jc w:val="left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969"/>
      </w:tblGrid>
      <w:tr w:rsidR="008F0FDE" w:rsidRPr="007D42F3" w14:paraId="333B9B70" w14:textId="77777777" w:rsidTr="00FE512C">
        <w:trPr>
          <w:trHeight w:val="527"/>
        </w:trPr>
        <w:tc>
          <w:tcPr>
            <w:tcW w:w="1390" w:type="dxa"/>
          </w:tcPr>
          <w:p w14:paraId="2FF29117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14:paraId="15CEC5BE" w14:textId="65374582" w:rsidR="00D66E55" w:rsidRPr="007D42F3" w:rsidRDefault="00D66E55" w:rsidP="00D66E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2A488A">
              <w:rPr>
                <w:rFonts w:eastAsia="Times New Roman" w:cs="Arial"/>
                <w:b/>
                <w:noProof/>
                <w:szCs w:val="20"/>
              </w:rPr>
              <w:t>20/21</w:t>
            </w:r>
          </w:p>
          <w:p w14:paraId="42F15A0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40184910" w14:textId="7CDA5F80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EA022D">
              <w:rPr>
                <w:rFonts w:eastAsia="Times New Roman" w:cs="Arial"/>
                <w:b/>
                <w:noProof/>
                <w:szCs w:val="20"/>
              </w:rPr>
              <w:t>2</w:t>
            </w:r>
            <w:r w:rsidR="002A488A">
              <w:rPr>
                <w:rFonts w:eastAsia="Times New Roman" w:cs="Arial"/>
                <w:b/>
                <w:noProof/>
                <w:szCs w:val="20"/>
              </w:rPr>
              <w:t>1/22</w:t>
            </w:r>
          </w:p>
          <w:p w14:paraId="7EB7C85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6B8CE60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176083B7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6CA9C4B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47ED8EE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969" w:type="dxa"/>
          </w:tcPr>
          <w:p w14:paraId="7F8F304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8F0FDE" w:rsidRPr="007D42F3" w14:paraId="3E840EBC" w14:textId="77777777" w:rsidTr="00FE512C">
        <w:trPr>
          <w:trHeight w:val="983"/>
        </w:trPr>
        <w:tc>
          <w:tcPr>
            <w:tcW w:w="1390" w:type="dxa"/>
          </w:tcPr>
          <w:p w14:paraId="10C6DF8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14:paraId="387AB8C1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Local taxation and Levies</w:t>
            </w:r>
          </w:p>
          <w:p w14:paraId="570E951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7B3A9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2E65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BF97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D295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9888F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0CA22D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5A7B97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29084556" w14:textId="77777777" w:rsidTr="00FE512C">
        <w:trPr>
          <w:trHeight w:val="983"/>
        </w:trPr>
        <w:tc>
          <w:tcPr>
            <w:tcW w:w="1390" w:type="dxa"/>
          </w:tcPr>
          <w:p w14:paraId="6B3614C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14:paraId="14C8891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14:paraId="6C3EF211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5D96C6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20EA4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6C7D85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BC27C4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7B73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CB4F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818F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7BE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C45062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F0A4A67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8D546C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6DF00A17" w14:textId="77777777" w:rsidTr="00FE512C">
        <w:trPr>
          <w:trHeight w:val="997"/>
        </w:trPr>
        <w:tc>
          <w:tcPr>
            <w:tcW w:w="1390" w:type="dxa"/>
          </w:tcPr>
          <w:p w14:paraId="3D58CB6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14:paraId="127F51F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14:paraId="3977F84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A7D62B6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740B78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CEC1D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EEE32B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31D3EE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2C6E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5ABD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D3C3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2C6BF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036B5F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5D8DF507" w14:textId="77777777" w:rsidTr="00FE512C">
        <w:trPr>
          <w:trHeight w:val="1125"/>
        </w:trPr>
        <w:tc>
          <w:tcPr>
            <w:tcW w:w="1390" w:type="dxa"/>
          </w:tcPr>
          <w:p w14:paraId="2CC00AA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14:paraId="5E64A4DE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14:paraId="5615C57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44765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97DA05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37DA35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02A1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C1E0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9ED9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CD2A1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2D401C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A55183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466FC908" w14:textId="77777777" w:rsidTr="00FE512C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14:paraId="29FDF69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6</w:t>
            </w:r>
          </w:p>
          <w:p w14:paraId="0EE9F206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14:paraId="3FF68AA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7030E9A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F816B9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30A30E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9025FE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B26599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8D27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C032B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669BD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75E05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92B99B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8B5830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3EFB2C00" w14:textId="77777777" w:rsidTr="00FE512C">
        <w:trPr>
          <w:trHeight w:val="987"/>
        </w:trPr>
        <w:tc>
          <w:tcPr>
            <w:tcW w:w="1390" w:type="dxa"/>
          </w:tcPr>
          <w:p w14:paraId="4980018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14:paraId="4EC8B9F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14:paraId="0594267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F94208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0B0ECE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E330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8D28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1ABC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97112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27A2A0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3AA7FF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37B5A5DF" w14:textId="77777777" w:rsidTr="00FE512C">
        <w:trPr>
          <w:trHeight w:val="973"/>
        </w:trPr>
        <w:tc>
          <w:tcPr>
            <w:tcW w:w="1390" w:type="dxa"/>
          </w:tcPr>
          <w:p w14:paraId="44D3C19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14:paraId="0AB74DB3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14:paraId="352C7F3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718CA0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5D0C3E9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CA404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1F08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5AFC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64B3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30BE4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C01355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568FCC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6DADD5EF" w14:textId="77777777" w:rsidTr="00FE512C">
        <w:trPr>
          <w:trHeight w:val="973"/>
        </w:trPr>
        <w:tc>
          <w:tcPr>
            <w:tcW w:w="1390" w:type="dxa"/>
          </w:tcPr>
          <w:p w14:paraId="4EA93E7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Explanation for ‘high’ reserves</w:t>
            </w:r>
          </w:p>
          <w:p w14:paraId="4DCE4EF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7EB9587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2783A02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8499" w:type="dxa"/>
            <w:gridSpan w:val="5"/>
          </w:tcPr>
          <w:p w14:paraId="7FA4BB2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>Box 7 is more than twice Box</w:t>
            </w:r>
            <w:r>
              <w:rPr>
                <w:rFonts w:eastAsia="Times New Roman" w:cs="Arial"/>
                <w:noProof/>
                <w:sz w:val="20"/>
                <w:szCs w:val="20"/>
              </w:rPr>
              <w:t>es</w:t>
            </w: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 2</w:t>
            </w:r>
            <w:r>
              <w:rPr>
                <w:rFonts w:eastAsia="Times New Roman" w:cs="Arial"/>
                <w:noProof/>
                <w:sz w:val="20"/>
                <w:szCs w:val="20"/>
              </w:rPr>
              <w:t xml:space="preserve"> and 3</w:t>
            </w: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 because ....</w:t>
            </w:r>
          </w:p>
        </w:tc>
      </w:tr>
    </w:tbl>
    <w:p w14:paraId="40F52657" w14:textId="77777777" w:rsidR="00602788" w:rsidRDefault="00602788"/>
    <w:sectPr w:rsidR="00602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DE"/>
    <w:rsid w:val="002A488A"/>
    <w:rsid w:val="005969F5"/>
    <w:rsid w:val="00602788"/>
    <w:rsid w:val="006E462D"/>
    <w:rsid w:val="008F0FDE"/>
    <w:rsid w:val="00B7492B"/>
    <w:rsid w:val="00D66E55"/>
    <w:rsid w:val="00EA022D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584D"/>
  <w15:chartTrackingRefBased/>
  <w15:docId w15:val="{BC014A74-6BA7-47FA-86F6-66E7EFBD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DE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Lia Twiner</cp:lastModifiedBy>
  <cp:revision>3</cp:revision>
  <dcterms:created xsi:type="dcterms:W3CDTF">2021-04-07T14:44:00Z</dcterms:created>
  <dcterms:modified xsi:type="dcterms:W3CDTF">2022-03-15T15:43:00Z</dcterms:modified>
</cp:coreProperties>
</file>